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242 vom 20. Januar 2026</w:t>
      </w:r>
    </w:p>
    <w:p>
      <w:r>
        <w:t>FR Kantonsgericht, 2026-01-20, FR</w:t>
      </w:r>
    </w:p>
    <w:p>
      <w:r>
        <w:rPr>
          <w:b/>
        </w:rPr>
        <w:t xml:space="preserve">Quelle: </w:t>
      </w:r>
      <w:r>
        <w:t>https://mcp.opencaselaw.ch/entscheid/fr_gerichte_102 2025 242</w:t>
      </w:r>
    </w:p>
    <w:p>
      <w:r>
        <w:t>FR: FR_GERICHTE 102 2025 242 du 20 janvier 2026</w:t>
      </w:r>
    </w:p>
    <w:p>
      <w:r>
        <w:t>IT: FR_GERICHTE 102 2025 242 del 20 gennaio 2026</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de CHF 30'000.- (cf. art. 51 al. 1 let. a art. 74 al. 1 let. b LTF).</w:t>
      </w:r>
    </w:p>
    <w:p>
      <w:r>
        <w:rPr>
          <w:b/>
        </w:rPr>
        <w:t>E. 2.1</w:t>
      </w:r>
    </w:p>
    <w:p>
      <w:r>
        <w:t>Aux termes des art. 80 et 81 LP, le juge doit prononcer la mainlevée définitive de l'opposition lorsque le créancier produit un jugement exécutoire ou un titre qui y est assimilé, tel qu'une décision d'une autorité administrative suisse (art. 80 al. 2 ch. 2 LP),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 ATF 113 III 6 consid. 1b). L'art. 81 LP exige, pour maintenir l'opposition formée par la partie poursuivie, la preuve par titre de l'extinction – totale ou</w:t>
      </w:r>
    </w:p>
    <w:p>
      <w:r>
        <w:t>Tribunal cantonal TC Page 3 de 5 partielle – de la dette ;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w:t>
      </w:r>
    </w:p>
    <w:p>
      <w:r>
        <w:rPr>
          <w:b/>
        </w:rPr>
        <w:t>E. 2.2</w:t>
      </w:r>
    </w:p>
    <w:p>
      <w:r>
        <w:t>La Présidente a rejeté la requête de mainlevée de l’opposition au motif que l’arrêt de la Cour de justice du canton de Genève du 19 juin 2025, qui a été produit par la requérante comme titre de mainlevée définitive, n’est pas attesté définitif et exécutoire et ne constitue ainsi pas un titre de mainlevée définitive.</w:t>
      </w:r>
    </w:p>
    <w:p>
      <w:r>
        <w:rPr>
          <w:b/>
        </w:rPr>
        <w:t>E. 2.3</w:t>
      </w:r>
    </w:p>
    <w:p>
      <w:r>
        <w:t>La recourante conteste cette appréciation. Elle soutient que cet arrêt cantonal est immédiatement exécutoire et qu’il incombe au poursuivi de justifier que l’effet suspensif à un éventuel recours au Tribunal fédéral a été octroyé.</w:t>
      </w:r>
    </w:p>
    <w:p>
      <w:r>
        <w:rPr>
          <w:b/>
        </w:rPr>
        <w:t>E. 2.4</w:t>
      </w:r>
    </w:p>
    <w:p>
      <w:r>
        <w:t>A l’instar des décisions uniquement susceptibles d’être attaquées par la voie du recours (art. 319 ss CPC), les décisions au fond rendues par la juridiction cantonale supérieure et les décisions d’une instance cantonale unique (art. 5 à 8 CPC) deviennent exécutoires dès leur prononcé en expédition complète (art. 112 al. 2, 3e phr. LTF), dans la mesure où un recours en matière civile ou un recours constitutionnel subsidiaire au Tribunal fédéral contre un jugement rendu sur appel ne déploie en principe pas d’effet suspensif (art. 103 al. 1 et 117 LTF), sous réserve de son octroi par le juge instructeur (art. 103 al. 3 LTF ; CR LP-BOVEY/CONSTANTIN, 2ème éd. 2025, art. 80, n. 5d). L’attestation du caractère exécutoire de la décision n’est pas nécessaire lorsque la décision à exécuter ne peut plus faire l’objet d’un recours qui a, de par la loi, un effet suspensif. C’est en effet au débiteur de prétendre et de prouver que l’exécution d’une décision exécutoire dès son prononcé a été par la suite suspendue. C’est également au débiteur d’établir qu’une décision exécutoire a, par la suite, été modifiée par un nouveau jugement entré en force de chose jugée (ABBET/VEUILLET, La mainlevée de l’opposition, 2ème éd. 2022, art. 80 n. 74). Il appartient au juge de la mainlevée d’examiner d’office le caractère exécutoire du titre de mainlevée. Il n’a toutefois pas à rechercher d’office si l’effet suspensif a été accordé à un recours, mais il doit en tenir compte lorsqu’il est soulevé par le débiteur (BSK SchKG-STAEHLIN, 3ème éd. 2021, art. 80 n. 9 et les références citées).</w:t>
      </w:r>
    </w:p>
    <w:p>
      <w:r>
        <w:rPr>
          <w:b/>
        </w:rPr>
        <w:t>E. 2.5</w:t>
      </w:r>
    </w:p>
    <w:p>
      <w:r>
        <w:t>En l’espèce, le ch. 1 du dispositif du jugement du Tribunal de première instance du 5 juillet 2024 condamnant B.________ à payer à la recourante la somme de CHF 30'000.-, plus intérêts à 5% l’an dès le 15 janvier 2021, a été confirmé par arrêt de la Cour de justice du canton de Genève du 19 juin 2025 (cf. bordereau de la requête de mainlevée). Cet arrêt cantonal est certes susceptible d’être remis en cause devant le Tribunal fédéral, mais uniquement par une voie de droit qui n’a pas d’office un effet suspensif, de sorte qu’il est exécutoire dès son prononcé motivé. Admettre le contraire reviendrait à reconnaître un effet suspensif d’office au recours en matière civile et au recours constitutionnel subsidiaire au Tribunal fédéral alors que précisément la loi ne le prévoit pas. De son côté, l’opposant, qui ne s’est pas déterminé sur la requête de mainlevée, n’a pas allégué ni prouvé avoir déposé un recours au Tribunal fédéral contre cet arrêt cantonal et obtenu l’effet suspensif à son recours. Ainsi, dès lors que la créancière poursuivante a produit un titre exécutoire et que B.________ n’a pas établi par titre avoir payé sa dette ou bénéficié d’un sursis, ni même invoqué la prescription (art. 81 al. 1 LP), la mainlevée définitive devait être prononcée.</w:t>
      </w:r>
    </w:p>
    <w:p>
      <w:r>
        <w:t>Tribunal cantonal TC Page 4 de 5 Partant, le recours doit être admis et la décision attaquée réformée dans le sens de l’admission de la requête de mainlevée de l’opposition.</w:t>
      </w:r>
    </w:p>
    <w:p>
      <w:r>
        <w:rPr>
          <w:b/>
        </w:rPr>
        <w:t>E. 3</w:t>
      </w:r>
    </w:p>
    <w:p>
      <w:r>
        <w:t>Les frais de justice dus à l’Etat, par CHF 190.-, sont mis à la charge de B.________. L'avance de frais versée par A.________ SA lui est restituée.</w:t>
      </w:r>
    </w:p>
    <w:p>
      <w:r>
        <w:rPr>
          <w:b/>
        </w:rPr>
        <w:t>E. 3.1</w:t>
      </w:r>
    </w:p>
    <w:p>
      <w:r>
        <w:t>En l’espèce, la requérante obtient gain de cause. Partant, les frais de la procédure de première instance sont mis à la charge de B.________. Ils sont fixés à CHF 190.-. L'avance de frais versée par la requérante lui sera restituée (art. 111 al. 1 CPC). Les frais de la procédure de recours sont également mis à la charge de l’intimé qui succombe. Ils sont fixés forfaitairement à CHF 400.- (art. 48 et 61 al. 1 OELP). L'avance de frais versée par la recourante lui est restituée (art. 111 al. 1 CPC).</w:t>
      </w:r>
    </w:p>
    <w:p>
      <w:r>
        <w:rPr>
          <w:b/>
        </w:rPr>
        <w:t>E. 3.2</w:t>
      </w:r>
    </w:p>
    <w:p>
      <w:r>
        <w:t>A.________ SA est assistée d’un agent d’affaire breveté pour les deux instances et a pris des conclusions avec suite de dépens.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première instance est de CHF 6'000.- (art. 64 al. 1 let. a RJ) et, en cas de recours contre une décision du juge unique, de CHF 3'000.-, montant pouvant être doublé si des circonstances particulières le justifient (art. 64 al. 1 let. e et al. 2 RJ). En l'espèce, compte tenu de ces critères, et du fait que la recourante n’était pas représentée par un avocat, mais par un agent d’affaires breveté, les dépens de A.________ SA pour la procédure de première instance sont fixés globalement à CHF 270.25, TVA (8.1%) par CHF 20.25 comprise. Ils sont fixés au même montant pour la procédure de recours. (dispositif en page suivante)</w:t>
      </w:r>
    </w:p>
    <w:p>
      <w:r>
        <w:t>Tribunal cantonal TC Page 5 de 5 la Cour arrête : I. Le recours est admis. Partant, la décision de la Présidente du Tribunal civil de l’arrondissement de la Gruyère du 16 octobre 2025 est réformée et prend désormais la teneur suivante : 1. La requête de mainlevée déposée le 1er septembre 2025 par A.________ SA à l'encontre de B.________ est admise. 2. La mainlevée définitive de l’opposition formée le 12 août 2025 au commandement de payer n° ccc de l'Office des poursuites de la Gruyère, notifié à l'instance de A.________ SA, est prononcée pour le montant de CHF 30'000.-, avec intérêts à 5% l'an dès le 15 janvier 2021, ainsi que pour les frais de poursuite et l'indemnité équitable fixée au chiffre 4 ci-dessous.</w:t>
      </w:r>
    </w:p>
    <w:p>
      <w:r>
        <w:rPr>
          <w:b/>
        </w:rPr>
        <w:t>E. 4</w:t>
      </w:r>
    </w:p>
    <w:p>
      <w:r>
        <w:t>Les dépens alloués à A.________ SA, fixés globalement à CHF 270.25, TVA (8.1%) par CHF 20.25 comprise, sont mis à la charge de B.________. II. Les frais de la procédure de recours sont mis à la charge de B.________. Les frais judiciaires dus à l’Etat par B.________ sont fixés forfaitairement à CHF 400.-. L'avance de frais versée par A.________ SA lui est restituée. Il est alloué à A.________ SA, à la charge de B.________, une indemnité de CHF 270.25, TVA (8.1%) par CHF 20.25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décembre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